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 xml:space="preserve">Disability Access Fund (DAF) introduced in April 2017, provides funding to support children with disabilities or special educational needs. The DAF aids access to early </w:t>
      </w:r>
      <w:proofErr w:type="gramStart"/>
      <w:r w:rsidRPr="00BF6BA8">
        <w:rPr>
          <w:rFonts w:ascii="Helvetica" w:eastAsia="Times New Roman" w:hAnsi="Helvetica" w:cs="Times New Roman"/>
          <w:color w:val="051030"/>
          <w:sz w:val="24"/>
          <w:szCs w:val="24"/>
          <w:lang w:eastAsia="en-GB"/>
        </w:rPr>
        <w:t>years</w:t>
      </w:r>
      <w:proofErr w:type="gramEnd"/>
      <w:r w:rsidRPr="00BF6BA8">
        <w:rPr>
          <w:rFonts w:ascii="Helvetica" w:eastAsia="Times New Roman" w:hAnsi="Helvetica" w:cs="Times New Roman"/>
          <w:color w:val="051030"/>
          <w:sz w:val="24"/>
          <w:szCs w:val="24"/>
          <w:lang w:eastAsia="en-GB"/>
        </w:rPr>
        <w:t xml:space="preserve"> places by, for example, supporting providers in making reasonable adjustments to their provision.</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b/>
          <w:bCs/>
          <w:color w:val="051030"/>
          <w:sz w:val="24"/>
          <w:szCs w:val="24"/>
          <w:lang w:eastAsia="en-GB"/>
        </w:rPr>
        <w:t>The DAF has been extended to include eligible two-year-old's until September 2025</w:t>
      </w:r>
      <w:r w:rsidRPr="00BF6BA8">
        <w:rPr>
          <w:rFonts w:ascii="Helvetica" w:eastAsia="Times New Roman" w:hAnsi="Helvetica" w:cs="Times New Roman"/>
          <w:color w:val="051030"/>
          <w:sz w:val="24"/>
          <w:szCs w:val="24"/>
          <w:lang w:eastAsia="en-GB"/>
        </w:rPr>
        <w:t>.</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Providers who offer </w:t>
      </w:r>
      <w:r w:rsidRPr="00BF6BA8">
        <w:rPr>
          <w:rFonts w:ascii="Helvetica" w:eastAsia="Times New Roman" w:hAnsi="Helvetica" w:cs="Times New Roman"/>
          <w:b/>
          <w:bCs/>
          <w:color w:val="051030"/>
          <w:sz w:val="24"/>
          <w:szCs w:val="24"/>
          <w:lang w:eastAsia="en-GB"/>
        </w:rPr>
        <w:t>Free Early Education places for 2-year-olds</w:t>
      </w:r>
      <w:r w:rsidRPr="00BF6BA8">
        <w:rPr>
          <w:rFonts w:ascii="Helvetica" w:eastAsia="Times New Roman" w:hAnsi="Helvetica" w:cs="Times New Roman"/>
          <w:color w:val="051030"/>
          <w:sz w:val="24"/>
          <w:szCs w:val="24"/>
          <w:lang w:eastAsia="en-GB"/>
        </w:rPr>
        <w:t> known in Kent as the Free for Two or 'FF2' scheme, </w:t>
      </w:r>
      <w:r w:rsidRPr="00BF6BA8">
        <w:rPr>
          <w:rFonts w:ascii="Helvetica" w:eastAsia="Times New Roman" w:hAnsi="Helvetica" w:cs="Times New Roman"/>
          <w:b/>
          <w:bCs/>
          <w:color w:val="051030"/>
          <w:sz w:val="24"/>
          <w:szCs w:val="24"/>
          <w:lang w:eastAsia="en-GB"/>
        </w:rPr>
        <w:t>can now</w:t>
      </w:r>
      <w:r w:rsidRPr="00BF6BA8">
        <w:rPr>
          <w:rFonts w:ascii="Helvetica" w:eastAsia="Times New Roman" w:hAnsi="Helvetica" w:cs="Times New Roman"/>
          <w:color w:val="051030"/>
          <w:sz w:val="24"/>
          <w:szCs w:val="24"/>
          <w:lang w:eastAsia="en-GB"/>
        </w:rPr>
        <w:t> apply to claim Disability Access Funding (DAF) to support eligible children.</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Two-year-old children may be eligible for DAF if they meet the following criteria:</w:t>
      </w:r>
    </w:p>
    <w:p w:rsidR="00BF6BA8" w:rsidRPr="00BF6BA8" w:rsidRDefault="00BF6BA8" w:rsidP="00BF6BA8">
      <w:pPr>
        <w:numPr>
          <w:ilvl w:val="0"/>
          <w:numId w:val="1"/>
        </w:numPr>
        <w:shd w:val="clear" w:color="auto" w:fill="FFFFFF"/>
        <w:spacing w:after="0"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The child is in receipt of Disability Living Allowance (DLA) and</w:t>
      </w:r>
    </w:p>
    <w:p w:rsidR="00BF6BA8" w:rsidRPr="00BF6BA8" w:rsidRDefault="00BF6BA8" w:rsidP="00BF6BA8">
      <w:pPr>
        <w:numPr>
          <w:ilvl w:val="0"/>
          <w:numId w:val="1"/>
        </w:numPr>
        <w:shd w:val="clear" w:color="auto" w:fill="FFFFFF"/>
        <w:spacing w:after="0"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The child receives free for two universal free early education and childcare entitlement.</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Three and four-year old children may be eligible for the DAF if they meet the following criteria:</w:t>
      </w:r>
    </w:p>
    <w:p w:rsidR="00BF6BA8" w:rsidRPr="00BF6BA8" w:rsidRDefault="00BF6BA8" w:rsidP="00BF6BA8">
      <w:pPr>
        <w:numPr>
          <w:ilvl w:val="0"/>
          <w:numId w:val="2"/>
        </w:numPr>
        <w:shd w:val="clear" w:color="auto" w:fill="FFFFFF"/>
        <w:spacing w:after="0"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The child is in receipt of Disability Living Allowance (DLA); and</w:t>
      </w:r>
    </w:p>
    <w:p w:rsidR="00BF6BA8" w:rsidRPr="00BF6BA8" w:rsidRDefault="00BF6BA8" w:rsidP="00BF6BA8">
      <w:pPr>
        <w:numPr>
          <w:ilvl w:val="0"/>
          <w:numId w:val="2"/>
        </w:numPr>
        <w:shd w:val="clear" w:color="auto" w:fill="FFFFFF"/>
        <w:spacing w:after="0"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The child receives universal or extended free early education and childcare entitlement.</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All Early Years providers who receive funding for the entitlement for two, three and four-year olds can claim DAF for eligible children.</w:t>
      </w:r>
    </w:p>
    <w:p w:rsidR="00BF6BA8" w:rsidRPr="00BF6BA8" w:rsidRDefault="00BF6BA8" w:rsidP="00BF6BA8">
      <w:pPr>
        <w:shd w:val="clear" w:color="auto" w:fill="FFFFFF"/>
        <w:spacing w:before="100" w:beforeAutospacing="1" w:after="100" w:afterAutospacing="1" w:line="240" w:lineRule="auto"/>
        <w:rPr>
          <w:rFonts w:ascii="Helvetica" w:eastAsia="Times New Roman" w:hAnsi="Helvetica" w:cs="Times New Roman"/>
          <w:color w:val="051030"/>
          <w:sz w:val="24"/>
          <w:szCs w:val="24"/>
          <w:lang w:eastAsia="en-GB"/>
        </w:rPr>
      </w:pPr>
      <w:r w:rsidRPr="00BF6BA8">
        <w:rPr>
          <w:rFonts w:ascii="Helvetica" w:eastAsia="Times New Roman" w:hAnsi="Helvetica" w:cs="Times New Roman"/>
          <w:color w:val="051030"/>
          <w:sz w:val="24"/>
          <w:szCs w:val="24"/>
          <w:lang w:eastAsia="en-GB"/>
        </w:rPr>
        <w:t>If a child who is eligible for DAF is splitting their funded hours across two or more providers, the parent must nominate one of the settings to receive the DAF funding as this cannot be split.</w:t>
      </w:r>
    </w:p>
    <w:p w:rsidR="00557539" w:rsidRDefault="00557539">
      <w:bookmarkStart w:id="0" w:name="_GoBack"/>
      <w:bookmarkEnd w:id="0"/>
    </w:p>
    <w:sectPr w:rsidR="0055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6E33"/>
    <w:multiLevelType w:val="multilevel"/>
    <w:tmpl w:val="F71E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180D20"/>
    <w:multiLevelType w:val="multilevel"/>
    <w:tmpl w:val="6B64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A8"/>
    <w:rsid w:val="00557539"/>
    <w:rsid w:val="00BF6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DFF41-EF35-4931-945E-5F744481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83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Saunders</dc:creator>
  <cp:keywords/>
  <dc:description/>
  <cp:lastModifiedBy>Ian Saunders</cp:lastModifiedBy>
  <cp:revision>1</cp:revision>
  <dcterms:created xsi:type="dcterms:W3CDTF">2023-04-25T14:11:00Z</dcterms:created>
  <dcterms:modified xsi:type="dcterms:W3CDTF">2023-04-25T14:12:00Z</dcterms:modified>
</cp:coreProperties>
</file>